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DOCUMENTO DI FANTASIA PER ESERCITAZIONE - nessun riferimento a persone, sedi o atti reali</w:t>
      </w:r>
    </w:p>
    <w:p>
      <w:pPr>
        <w:pStyle w:val="Heading1"/>
      </w:pPr>
      <w:r>
        <w:t>Accordo territoriale sul lavoro agile - bozza aziendale 2027</w:t>
      </w:r>
    </w:p>
    <w:p>
      <w:pPr>
        <w:pStyle w:val="Heading2"/>
      </w:pPr>
      <w:r>
        <w:t>Art. 1 - Ambito</w:t>
      </w:r>
    </w:p>
    <w:p>
      <w:r>
        <w:t>Il lavoro agile è applicabile al personale delle funzioni di supporto operativo e amministrativo dell'Area Centro.</w:t>
      </w:r>
    </w:p>
    <w:p>
      <w:pPr>
        <w:pStyle w:val="Heading2"/>
      </w:pPr>
      <w:r>
        <w:t>Art. 2 - Giornate</w:t>
      </w:r>
    </w:p>
    <w:p>
      <w:r>
        <w:t>Il lavoratore può svolgere la prestazione in modalità agile di norma fino a otto giornate al mese, concordate con il responsabile con almeno cinque giorni di anticipo.</w:t>
      </w:r>
    </w:p>
    <w:p>
      <w:pPr>
        <w:pStyle w:val="Heading2"/>
      </w:pPr>
      <w:r>
        <w:t>Art. 3 - Criteri di accesso</w:t>
      </w:r>
    </w:p>
    <w:p>
      <w:r>
        <w:t>In caso di richieste superiori ai posti disponibili, i criteri di priorità sono definiti dall'Azienda, sentite le RSU, e tengono conto delle esigenze di cura familiare e della distanza dalla sede.</w:t>
      </w:r>
    </w:p>
    <w:p>
      <w:pPr>
        <w:pStyle w:val="Heading2"/>
      </w:pPr>
      <w:r>
        <w:t>Art. 4 - Disconnessione</w:t>
      </w:r>
    </w:p>
    <w:p>
      <w:r>
        <w:t>È garantito il diritto alla disconnessione dalle ore 20.00 alle ore 7.00 e nelle giornate festive.</w:t>
      </w:r>
    </w:p>
    <w:p>
      <w:pPr>
        <w:pStyle w:val="Heading2"/>
      </w:pPr>
      <w:r>
        <w:t>Art. 5 - Verifica</w:t>
      </w:r>
    </w:p>
    <w:p>
      <w:r>
        <w:t>Le parti si incontrano ogni anno per verificare l'applicazione dell'accordo.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