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FICTIONAL DOCUMENT FOR PRACTICE - no reference to real people, companies or records</w:t>
      </w:r>
    </w:p>
    <w:p>
      <w:pPr>
        <w:pStyle w:val="Heading1"/>
      </w:pPr>
      <w:r>
        <w:t>In the County Court at Pontbridge - Claim no. K00PB418 - Judgment</w:t>
      </w:r>
    </w:p>
    <w:p>
      <w:r>
        <w:t>Between Hillcrest Estates Ltd (claimant, landlord) and Joanna Neale trading as Greenleaf Stores (defendant, tenant). Judgment of the District Judge.</w:t>
      </w:r>
    </w:p>
    <w:p>
      <w:pPr>
        <w:pStyle w:val="Heading2"/>
      </w:pPr>
      <w:r>
        <w:t>Background</w:t>
      </w:r>
    </w:p>
    <w:p>
      <w:r>
        <w:t>The claimant seeks possession of the shop at 12 High Street, Pontbridge, let to the defendant for business use under a lease dated 1 March 2021, on the ground that the lease has been forfeited for non-payment of rent. The claimant relies on the late payment of the rent for January and February 2026, £3,600.00 in total (£1,800.00 a month). The defendant says that she paid both months in full by 20 March 2026, before the claim was issued on 2 April 2026, and that she paid the rent on time throughout the previous five years.</w:t>
      </w:r>
    </w:p>
    <w:p>
      <w:pPr>
        <w:pStyle w:val="Heading2"/>
      </w:pPr>
      <w:r>
        <w:t>Reasons</w:t>
      </w:r>
    </w:p>
    <w:p>
      <w:r>
        <w:t>The claim for possession fails. The lease gives the landlord a right of re-entry if the rent is unpaid 21 days after it falls due. Section 138 of the County Courts Act 1984 applies where a lessor is proceeding by action in the county court to enforce a right of re-entry or forfeiture for non-payment of rent; under section 138(2), if the lessee pays all the rent in arrear and the costs of the action not less than 5 clear days before the return day, the action ceases and the lessee holds the land according to the lease. In this case no rent was in arrear when the claim was issued: the delay was of about two months, it was made good before proceedings began, and it was not part of a series of late payments. The defendant also paid the interest due under the lease, and the claimant has not shown any loss beyond that interest.</w:t>
      </w:r>
    </w:p>
    <w:p>
      <w:r>
        <w:t>The tenancy continues as a business tenancy under Part II of the Landlord and Tenant Act 1954, and section 24 of that Act governs its continuation.</w:t>
      </w:r>
    </w:p>
    <w:p>
      <w:pPr>
        <w:pStyle w:val="Heading2"/>
      </w:pPr>
      <w:r>
        <w:t>Order</w:t>
      </w:r>
    </w:p>
    <w:p>
      <w:r>
        <w:t>The claim is dismissed. Under rule 44.2 of the Civil Procedure Rules the court has discretion as to costs, and the general rule is that the unsuccessful party pays the costs of the successful party. Having regard to the defendant's late payment, which gave rise to the claim, the court makes no order as to costs.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