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FICTIONAL DOCUMENT FOR PRACTICE - no reference to real people, companies or records</w:t>
      </w:r>
    </w:p>
    <w:p>
      <w:pPr>
        <w:pStyle w:val="Heading1"/>
      </w:pPr>
      <w:r>
        <w:t>Supply agreement - the firm's draft (client: Alder Components Ltd, buyer)</w:t>
      </w:r>
    </w:p>
    <w:p>
      <w:pPr>
        <w:pStyle w:val="Heading2"/>
      </w:pPr>
      <w:r>
        <w:t>1. Subject matter</w:t>
      </w:r>
    </w:p>
    <w:p>
      <w:r>
        <w:t>The Supplier supplies to the Buyer the components listed in Schedule A, in accordance with the Buyer's orders.</w:t>
      </w:r>
    </w:p>
    <w:p>
      <w:pPr>
        <w:pStyle w:val="Heading2"/>
      </w:pPr>
      <w:r>
        <w:t>2. Price and payment</w:t>
      </w:r>
    </w:p>
    <w:p>
      <w:r>
        <w:t>The prices are those in Schedule A. Payment is due 60 days after the date of the invoice.</w:t>
      </w:r>
    </w:p>
    <w:p>
      <w:pPr>
        <w:pStyle w:val="Heading2"/>
      </w:pPr>
      <w:r>
        <w:t>3. Delivery and liquidated damages</w:t>
      </w:r>
    </w:p>
    <w:p>
      <w:r>
        <w:t>Deliveries are made within 10 working days of the order. For each day of delay the Supplier pays liquidated damages of 0.5% of the value of the order, up to a maximum of 10%.</w:t>
      </w:r>
    </w:p>
    <w:p>
      <w:pPr>
        <w:pStyle w:val="Heading2"/>
      </w:pPr>
      <w:r>
        <w:t>4. Warranty</w:t>
      </w:r>
    </w:p>
    <w:p>
      <w:r>
        <w:t>The Supplier warrants the components for 24 months from delivery.</w:t>
      </w:r>
    </w:p>
    <w:p>
      <w:pPr>
        <w:pStyle w:val="Heading2"/>
      </w:pPr>
      <w:r>
        <w:t>5. Termination</w:t>
      </w:r>
    </w:p>
    <w:p>
      <w:r>
        <w:t>The Buyer may terminate this agreement at any time by giving 30 days' written notice.</w:t>
      </w:r>
    </w:p>
    <w:p>
      <w:pPr>
        <w:pStyle w:val="Heading2"/>
      </w:pPr>
      <w:r>
        <w:t>6. Governing law and jurisdiction</w:t>
      </w:r>
    </w:p>
    <w:p>
      <w:r>
        <w:t>This agreement is governed by the law of England and Wales, and the courts of England and Wales have exclusive jurisdiction over any dispute.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